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sottoscritto Tommaso Mancuso, rappresentante degli studenti in seno al Senato Accademico,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Visto: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progetto presentato al Direttore del Dipartimento di Giurisprudenza Prof. Aldo Schiavello, dall’associazione studentesca UDU Palermo - Unione degli Universitari, in collaborazione con le associazioni RUM - Rete Universitaria Mediterranea, Intesa Universitaria e UniXCento, avente oggetto l’apertura serale del secondo atrio dell’ex facoltà di Giurisprudenza;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presentazione, durante l’ultima seduta del Senato Accademico, di un’interrogazione da parte dello stesso Direttore in merito alle intenzioni dell’Amministrazione d’Ateneo circa il suddetto progetto;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 perplessità sollevate dal Magnifico Rettore circa il numero esiguo di posti disponibili nelle Sale Lettura oggetto della proposta;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 considerato che: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capienza complessiva delle due/tre Sale Lettura individuate è pari a circa 150 posti a sedere;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numero di posti sopracitato, anche rapportato a quello delle Biblioteche situate presso la Cittadella Universitaria, è consono alle esigenze dell’utenza prevista nel progetto;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Dall’apertura serale del secondo atrio dell’ex facoltà di Giurisprudenza e dalla conseguente fruizione dei servizi previsti deriverebbe una maggiore utilità per tutta la popolazione studentesca, soprattutto in relazione alla collocazione in centro storico e alla possibilità quindi di garantire agli studenti residenti nelle zone adiacenti un più facile raggiungimento dei luoghi di studio in orari serali;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 avverte, tra il corpo studentesco, l’esigenza dell’approvazione e dell’esecuzione del progetto prospettato;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Chiede alla s.v.: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Chiarimenti circa le intenzioni dell’Amministrazione d’Ateneo in merito alla proposta sopracitata. 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